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802859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3E3533" w:rsidRDefault="003E353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01902" w:rsidRDefault="00D01902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03" w:rsidRPr="00D62403" w:rsidRDefault="00B00FB6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 04</w:t>
      </w:r>
      <w:r w:rsidR="006920F8"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="006920F8"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86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Кореновского района от 01 ноября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>2023 года № 17</w:t>
      </w:r>
      <w:r w:rsidR="00CC104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CC1048" w:rsidRPr="00CC1048">
        <w:rPr>
          <w:rFonts w:ascii="Times New Roman" w:eastAsia="Times New Roman" w:hAnsi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с изменениями от</w:t>
      </w:r>
      <w:r w:rsidR="008E4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03 июня</w:t>
      </w:r>
      <w:r w:rsidR="008E4D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2024 года № 43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62403" w:rsidRPr="00D62403" w:rsidRDefault="00D62403" w:rsidP="001358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1358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4D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  <w:r w:rsidR="00C652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Дядьковского сельского поселения Кореновского района от 01 ноября 2023 года № 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с изменениями от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03 июня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2024 года № 43)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</w:t>
      </w:r>
      <w:r w:rsid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E87060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0FB6" w:rsidRPr="00B00FB6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62403" w:rsidRPr="00D62403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B6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6B5" w:rsidRPr="00AB16B5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</w:t>
      </w:r>
      <w:r w:rsidR="00AB16B5"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а</w:t>
      </w:r>
    </w:p>
    <w:p w:rsidR="00AB16B5" w:rsidRP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13581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 Ткачева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13581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5387" w:type="dxa"/>
        <w:tblLook w:val="04A0"/>
      </w:tblPr>
      <w:tblGrid>
        <w:gridCol w:w="4927"/>
        <w:gridCol w:w="4927"/>
      </w:tblGrid>
      <w:tr w:rsidR="002A2F72" w:rsidRPr="003F783C" w:rsidTr="003F783C"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2A2F72" w:rsidRPr="003F783C" w:rsidRDefault="00B00FB6" w:rsidP="008E4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04</w:t>
            </w:r>
            <w:r w:rsidR="008E4D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86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B00FB6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A2F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B00FB6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B00FB6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13581A" w:rsidRDefault="00B00FB6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CA07AA" w:rsidRDefault="00CC1048" w:rsidP="00CC10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48">
        <w:rPr>
          <w:rFonts w:ascii="Times New Roman" w:eastAsia="Arial" w:hAnsi="Times New Roman"/>
          <w:b/>
          <w:bCs/>
          <w:sz w:val="28"/>
          <w:szCs w:val="28"/>
          <w:lang w:eastAsia="ar-SA"/>
        </w:rPr>
        <w:t>«Безопасность дорожного движения на территории Дядьковского сельского поселения Кореновского района» на 2024 -2026 годы</w:t>
      </w:r>
    </w:p>
    <w:p w:rsidR="00CC1048" w:rsidRPr="00CC1048" w:rsidRDefault="00CC1048" w:rsidP="00CC1048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CC1048" w:rsidRPr="00CC1048" w:rsidRDefault="00CC1048" w:rsidP="00CC104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Безопасность дорожного движения на территории Дядьковского сельского поселения Кореновского района</w:t>
      </w: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CC1048" w:rsidRPr="00CC1048" w:rsidTr="00083CF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Задачи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Координация действий администрации муниципального образования Кореновский район и администрации </w:t>
            </w: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Дядьковского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Сохранение жизни, здоровья и имущества участников дорожного движения, защита их законных интересов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роста  уровня аварийности на дорогах Дядьковского сельского поселения Кореновского района за период реализации программы  добиться (сохранения уровня)  - 0 ед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 числа лиц, погибших в дорожно-транспортных происшествиях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социальный риск (число лиц, погибших в дорожно-транспортных происшествиях, на 1тыс. населения 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транспортный риск (число, лиц погибших в дорожно-транспортных происшествиях, на 10 тыс. транспорта, за период реализации программы  добиться (сохранения уровня)  - 0 ед ; 2025-2026гг –плановое значение  показателей   на уровне 2024 года</w:t>
            </w:r>
          </w:p>
        </w:tc>
      </w:tr>
      <w:tr w:rsidR="00CC1048" w:rsidRPr="00CC1048" w:rsidTr="00083CFA">
        <w:trPr>
          <w:trHeight w:val="44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Этапы и сроки реализации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Объем финансирования программы   1236,0     тысяч рублей, в том числе на 2024 год –    412,0     тысяч рублей;2025 год –    412,0     тысяч рублей.2026 год –    412,0     тысяч рублей  Источник финансирования – местный бюджет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Разработка данной Программы продиктована резко возросшей интенсивностью дорожного движения, обусловленной постоянно увеличивающимся количеством подвижного состава на территории Дядьковского сельского поселения Кореновского района. Постоянно возрастают показатели сроков эксплуатации и процент износа транспортных средств. 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станице Дядьковской  расположены социально-значимые объекты, такие как школа и больница, детские сады.  Реализация муниципальной программы  «Безопасность дорожного движения на территории Дядьковского сельского поселения Кореновского района» на 2024-2026 годы позволит создать скоординированную систему направлений деятельности и детализирующих их мероприятий по снижению дорожно-транспортного травматизма на территории Дядьковского сельского поселения Кореновского района. Учтены параметры прогноза социально-экономического развития поселения (протяженность дорог не увеличивается, также и с твердым покрытием), поэтому объемы работ  по годам прогнозируются на уровне 2024 года (без роста).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приоритетам</w:t>
      </w:r>
      <w:r w:rsid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Федеральный закон от 06 октября 2003 года № 131-ФЗ «Об общих принципах организации местного самоуправления в Российской Федерации», Федеральный Закон от 10 декабря 1995 года  № 196-ФЗ «О безопасности дорожного движения».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обеспечение безопасности дорожного движения, охраны жизни, здоровья и имущества участников дорожного движения, гарантия их законных прав на безопасные условия движения на дорогах. </w:t>
      </w:r>
    </w:p>
    <w:p w:rsidR="00CC1048" w:rsidRPr="00CC1048" w:rsidRDefault="00CC1048" w:rsidP="00CC10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движения. 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программы: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действий администрации муниципального образования Кореновский район и администрации Дядьковского сельского поселения Кореновского района при проведении мероприятий, направленных на повышение безопасности дорожного движения;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жизни, здоровья и имущества участников дорожного движения, защита их законных интересов;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ликвидация и профилактика возникновения опасных участков на дорожной сети в границах Дядьковского сельского поселения Кореновского района.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Программы –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роста  уровня аварийности на дорогах Дядьковского сельского поселения Кореновского района (2018г. -0 ед., 2019 год – 0ед, 2020 год -0 ед., 2021 год- 0 ед. 2022 год- (прогноз) 0 ед.;2023г -(прогноз ) 0 ед.,  2024г -(план) 0 ед- срок  1,2,3,4 кварталы года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 числа лиц, погибших в дорожно-транспортных происшествиях (2018 год -0 ед., 2019 год -0 ед., 2020 год -0 ед.,  2021 год- 0ед; 2022г (прогноз) 0 ед. ; 2023 год- (прогноз) 0 ед),  2024 год- (план) 0 ед-срок  1,2,3,4 кварталы года;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социальный риск (число лиц, погибших в дорожно-транспортных происшествиях, на 1тыс. населения  по итогам 2018 года – 0,  по итогам 2019 года – 0, 2020 год -0, 2021 год-0 ед,,  2022г. - (прогноз) 0 ед. ,2023 год- (прогноз) 0 ед), 2024 год- (план) 0 ед) -срок  1,2,3,4 кварталы года;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транспортный риск (число, лиц погибших в дорожно-транспортных происшествиях, на 10 тыс. транспорта, в 2018 году -  0 , в 2019 году- 0, 2020 год -0, 2021 год- 0 ед , 2022 г (прогноз) 0 ед. 2023 год- (прогноз ) 0 ед., 2024 год- (план) 0 ед.-срок  1,2,3,4 кварталы года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2025-2026 годы  – плановое значение  показателей   на уровне 2024 года.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083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</w:p>
    <w:p w:rsidR="00CC1048" w:rsidRPr="00CC1048" w:rsidRDefault="00CC1048" w:rsidP="00CC1048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CC1048" w:rsidRPr="00CC1048" w:rsidTr="00083CF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B52B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B52BD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\срок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C1048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Безопасность дорожного движения на территории Дядьковского сельского поселения Кореновского района» на 2024-2026 годы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 w:rsidR="00B00FB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снижение роста  уровня аварийности на дорогах Дядьковского сельского поселения Кореновского района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снижение уровня  числа лиц, погибших в дорожно-транспортных происшествиях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социальный риск (число лиц, погибших в дорожно-транспортных происшествиях, на 1тыс. населения  по итогам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1.4 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транспортный риск (число, лиц погибших в дорожно-транспортных происшествиях, на 10 тыс. транспорта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Единиц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2.0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мероприятия»№1 «Нанесение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BC78A1">
        <w:trPr>
          <w:cantSplit/>
          <w:trHeight w:val="5052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по нанесению линий дорожной разметки краской с микросферами стеклянными по улицам в ст. Дядьковской по улицам: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100м2 букв.цифр 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3.0</w:t>
            </w:r>
          </w:p>
        </w:tc>
        <w:tc>
          <w:tcPr>
            <w:tcW w:w="1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 2  «Ямочный ремонт асфальтобетонного покрытия дорожной сети Дядьковского сельского поселения Кореновского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71065"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 Дядьковского сельского по-селения Кореновского района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</w:t>
            </w: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9около д.40, 42, 54, 63)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с ул. Жестовского)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(напротив футбольного поля)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CC1048" w:rsidRPr="00CC1048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4202" w:rsidRPr="00CC1048" w:rsidTr="00B00FB6">
        <w:trPr>
          <w:cantSplit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4235F2">
            <w:pPr>
              <w:widowControl w:val="0"/>
              <w:suppressLineNumbers/>
              <w:tabs>
                <w:tab w:val="left" w:pos="5225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Основные мероприятия»№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 «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</w:t>
            </w:r>
            <w:r w:rsid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знака»</w:t>
            </w:r>
          </w:p>
        </w:tc>
      </w:tr>
      <w:tr w:rsidR="00216CB4" w:rsidRPr="00CC1048" w:rsidTr="00216CB4">
        <w:trPr>
          <w:cantSplit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216CB4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</w:t>
            </w:r>
            <w:r>
              <w:rPr>
                <w:rFonts w:ascii="Times New Roman" w:hAnsi="Times New Roman"/>
              </w:rPr>
              <w:t>3</w:t>
            </w:r>
            <w:r w:rsidRPr="00216CB4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4</w:t>
            </w:r>
            <w:r w:rsidRPr="00216CB4">
              <w:rPr>
                <w:rFonts w:ascii="Times New Roman" w:hAnsi="Times New Roman"/>
              </w:rPr>
              <w:t xml:space="preserve">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</w:tr>
      <w:tr w:rsidR="00216CB4" w:rsidRPr="00CC1048" w:rsidTr="00B00FB6">
        <w:trPr>
          <w:cantSplit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Установка   дорожного знака 5.2(искусственная  неровность) по ул. Ленина  в станице Дядьковской  Кореновского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шт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3\3 и 4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890522" w:rsidRDefault="00216CB4" w:rsidP="00B00FB6">
            <w:r w:rsidRPr="00216CB4">
              <w:t>х</w:t>
            </w:r>
          </w:p>
        </w:tc>
      </w:tr>
    </w:tbl>
    <w:p w:rsidR="00CC1048" w:rsidRPr="00CC1048" w:rsidRDefault="00CC1048" w:rsidP="00CC10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CC1048" w:rsidRPr="00CC1048" w:rsidRDefault="00CC1048" w:rsidP="00CC1048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«3»;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Pr="00CC1048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Раздел 3. Перечень основных мероприятий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5"/>
      </w:tblGrid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 1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 xml:space="preserve"> год 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  <w:r w:rsidR="00B00FB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083CFA">
        <w:trPr>
          <w:cantSplit/>
          <w:trHeight w:val="341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Сохранение жизни, здоровья и имущества участников дорожного движения, защита их законных интересов; 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Ликвидация и профилактика возникновения опасных участков на дорожной сети в границах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 в ст.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Дядьковской по улицам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1221,3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397,3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</w:t>
            </w:r>
            <w:r w:rsidR="00B00FB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цифр  - 3,44\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6B5F39" w:rsidRDefault="004235F2" w:rsidP="00B00FB6">
            <w:r w:rsidRPr="006B5F39">
              <w:t>1221,3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6B5F39" w:rsidRDefault="004235F2" w:rsidP="00B00FB6">
            <w:r w:rsidRPr="006B5F39">
              <w:t>397,3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6B5F39" w:rsidRDefault="004235F2" w:rsidP="00B00FB6">
            <w:r w:rsidRPr="006B5F39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Default="004235F2" w:rsidP="00B00FB6">
            <w:r w:rsidRPr="006B5F39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235F2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1.1.1.1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 том числе: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1221,3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397,3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</w:t>
            </w:r>
            <w:r w:rsidR="00B00FB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цифр  - 3,44\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1221,3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397,3</w:t>
            </w:r>
            <w:bookmarkEnd w:id="0"/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</w:t>
            </w:r>
            <w:r w:rsidR="00B00FB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цифр  - 3,44\</w:t>
            </w:r>
          </w:p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C71065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B19" w:rsidRPr="00CC1048" w:rsidTr="00083CFA">
        <w:trPr>
          <w:cantSplit/>
          <w:trHeight w:val="64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A275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5966D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Ямочный ремонт асфальтобетонного покрытия дорожной сети Дядьковского сельского </w:t>
            </w:r>
            <w:r w:rsidR="00A275A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по-селения Кореновского района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D01B19" w:rsidRPr="00CC1048" w:rsidTr="00083CFA">
        <w:trPr>
          <w:cantSplit/>
          <w:trHeight w:val="254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083CFA">
        <w:trPr>
          <w:cantSplit/>
          <w:trHeight w:val="199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BC78A1">
        <w:trPr>
          <w:cantSplit/>
          <w:trHeight w:val="139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48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1.1.2.1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числе: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9около д.40, 42, 54, 63)</w:t>
            </w:r>
          </w:p>
          <w:p w:rsidR="00BC78A1" w:rsidRPr="00CC1048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Карла Маркса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52BDE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654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BC78A1">
        <w:trPr>
          <w:cantSplit/>
          <w:trHeight w:val="8728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(перекресток с ул. Жестовского)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Ленина (напротив 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футбольного поля)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083CFA">
        <w:trPr>
          <w:cantSplit/>
          <w:trHeight w:val="1455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B52BD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4235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16CB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знака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216C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12,0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16CB4" w:rsidRPr="00CC1048" w:rsidTr="00216CB4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 xml:space="preserve">12,0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 5.2(искусственная  неровность) по ул. Ленина  в станице Дядьковской  Кореновского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12,0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 xml:space="preserve">12,0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8C22B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 xml:space="preserve">1236,0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Краевой</w:t>
            </w:r>
          </w:p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 xml:space="preserve">1236,0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D508F0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запланированных мероприятий необходимы следующие ресурсы в сумме 412,0     тыс. рублей  ежегодно для следующих мероприятий: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Дядьковской/ апрель-май и  август – октябрь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(работы выполняются два раза в год)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предусмотрено мероприятие – «</w:t>
      </w:r>
      <w:r w:rsidR="00BC78A1" w:rsidRPr="00BC78A1">
        <w:rPr>
          <w:rFonts w:ascii="Times New Roman" w:eastAsia="Times New Roman" w:hAnsi="Times New Roman"/>
          <w:sz w:val="28"/>
          <w:szCs w:val="28"/>
          <w:lang w:eastAsia="ru-RU"/>
        </w:rPr>
        <w:t>Ямочный ремонт асфальтобетонного покрытия дорожной сети Дядьковского сельского поселения Кореновского района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48" w:rsidRPr="00CC1048" w:rsidRDefault="008A7A0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выполняются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раз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 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="004235F2" w:rsidRPr="004235F2">
        <w:rPr>
          <w:rFonts w:ascii="Times New Roman" w:eastAsia="Times New Roman" w:hAnsi="Times New Roman"/>
          <w:sz w:val="28"/>
          <w:szCs w:val="28"/>
          <w:lang w:eastAsia="ru-RU"/>
        </w:rPr>
        <w:t>Установка   дорожного знака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 1 шт.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 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</w:t>
      </w:r>
      <w:r w:rsidR="00B52B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оценки эффективности реализации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Общие положения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 Оценка эффективности реализации  муниципальной  программы осуществляется в два этапа.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5.1.2.1. На первом этапе осуществляется оценка эффективности реализации по каждой из подпрограмм, основных мероприятий, и включает в себя: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реализации мероприятий подпрограмм (основных  мероприятий) и достижения ожидаемых непосредственных результатов их реализации;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эффективности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оценку степени достижения целей и решения задач подпрограмм,  основных мероприятий, входящих в муниципальную программу (далее – оценка степени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5.1.2.2. На втором этапе осуществляется оценка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Оценка степени реализации мероприятий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СРм= М в/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мероприятий;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общее количество мероприятий, запланированных к реализации в 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 Мероприятие может считаться выполненным в полном объеме при достижении следующих результатов: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менее, чем на 1% в отчетном году по сравнению с годом, предшествующим отчетному).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5.2.2.2. Мероприятие, предусматривающее оказание муниципальной услуги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 соглашением о порядке и условиях предоставления субсидии на финансовое обеспечение выполнения муниципальные задания, заключаемого муниципальным учреждением Дядьковского сельского поселения Кореновского района и администрацией Дядьковского сельского поселения Кореновского района, осуществляющим функции и полномочия его учредителя.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5.3. Оценка степени соответствия запланированному уровню расходов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5.3.1.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ССуз= Зф/ Зп,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5.3.2. С учетом специфики конкретной муниципальной 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5.4. Оценка эффективности использования средств местного бюджета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Данный показатель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финансовых ресурсов на реализацию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всех мероприятий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 из всех источников.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5.5. Оценка степени достижения целей и решения задач подпрограммы (основного мероприятия)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5.5.1. 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5.5.2. Степень достижения  планового значения  целевого показателя рассчитывается по следующим формулам: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увеличение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= ЗПп/пф / ЗПп/пп;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для целевых показателей, желаемой тенденцией развития которых является снижение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СДп/ппз = ЗПп/пп / ЗПп/пф,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5.5.3. Степень реализации подпрограммы (основного мероприятия)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N СРп/п= ∑ СДп/ппз / N,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N – число целевых показателей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СДп/ппз&gt;1, значение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СРп/п = ∑ СДп/ппз*ki,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целевого показателя,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∑ 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 Оценка эффективности реализации подпрограммы (основного мероприятия)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ЭРп/п = СРп/п*Эис,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5.6.2. 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5.6.3. В остальных случаях эффективность реализации подпрограммы (основного  мероприятия) признается неудовлетворительной.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 Оценка степени достижения целей и решения задач муниципальной программы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5.7.1.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ЗПгпф/ ЗПгпп;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снижение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ЗПгпп/ ЗПгпф,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5.7.3. Степень реализации муниципальной программы рассчитывается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М СРгп= ∑СДгппз/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М СРгп = ∑ СДгппз*ki,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показателя, ∑ki=1.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 Оценка эффективности реализации 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5.8.1. 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j ЭРгп= 0,5* СРгп+ 0,5*∑ЭРп/п*kj/ j,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ЭРгп – эффективность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kj= Фj/Ф,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j – количество подпрограмм (основных мероприятий).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5.8.2.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B52BDE" w:rsidRPr="00CC1048" w:rsidRDefault="00B52BDE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6. Механизм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осуществления текущего контроля реализации мероприятий муниципальной программы ответственный исполнитель программы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CC1048" w:rsidRPr="00CC1048" w:rsidRDefault="00CC1048" w:rsidP="00CC1048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C1048" w:rsidRPr="00CC1048" w:rsidRDefault="00CC1048" w:rsidP="00CC10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F1E99" w:rsidRDefault="00CC1048" w:rsidP="0036103E">
      <w:pPr>
        <w:spacing w:after="0" w:line="240" w:lineRule="auto"/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sectPr w:rsidR="000F1E99" w:rsidSect="00CC1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20B" w:rsidRDefault="0077120B">
      <w:pPr>
        <w:spacing w:after="0" w:line="240" w:lineRule="auto"/>
      </w:pPr>
      <w:r>
        <w:separator/>
      </w:r>
    </w:p>
  </w:endnote>
  <w:endnote w:type="continuationSeparator" w:id="1">
    <w:p w:rsidR="0077120B" w:rsidRDefault="0077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20B" w:rsidRDefault="0077120B">
      <w:pPr>
        <w:spacing w:after="0" w:line="240" w:lineRule="auto"/>
      </w:pPr>
      <w:r>
        <w:separator/>
      </w:r>
    </w:p>
  </w:footnote>
  <w:footnote w:type="continuationSeparator" w:id="1">
    <w:p w:rsidR="0077120B" w:rsidRDefault="0077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37A3B"/>
    <w:rsid w:val="000416BB"/>
    <w:rsid w:val="0005684F"/>
    <w:rsid w:val="00080E54"/>
    <w:rsid w:val="00083CFA"/>
    <w:rsid w:val="000845DE"/>
    <w:rsid w:val="00090753"/>
    <w:rsid w:val="000E4E6F"/>
    <w:rsid w:val="000F0F4A"/>
    <w:rsid w:val="000F1E99"/>
    <w:rsid w:val="000F3AD6"/>
    <w:rsid w:val="00134202"/>
    <w:rsid w:val="0013581A"/>
    <w:rsid w:val="00140E36"/>
    <w:rsid w:val="00142B3A"/>
    <w:rsid w:val="0016293A"/>
    <w:rsid w:val="0018169D"/>
    <w:rsid w:val="001A7180"/>
    <w:rsid w:val="001B1B1E"/>
    <w:rsid w:val="001D7D86"/>
    <w:rsid w:val="001F44FF"/>
    <w:rsid w:val="00216CB4"/>
    <w:rsid w:val="002334AD"/>
    <w:rsid w:val="002428D4"/>
    <w:rsid w:val="00244676"/>
    <w:rsid w:val="00260A1A"/>
    <w:rsid w:val="00275B55"/>
    <w:rsid w:val="00282606"/>
    <w:rsid w:val="002A2F72"/>
    <w:rsid w:val="00301597"/>
    <w:rsid w:val="00330794"/>
    <w:rsid w:val="00332E05"/>
    <w:rsid w:val="0036103E"/>
    <w:rsid w:val="003D30BC"/>
    <w:rsid w:val="003D6CA5"/>
    <w:rsid w:val="003E3533"/>
    <w:rsid w:val="003E3D9D"/>
    <w:rsid w:val="003F424C"/>
    <w:rsid w:val="003F783C"/>
    <w:rsid w:val="004235F2"/>
    <w:rsid w:val="00424D75"/>
    <w:rsid w:val="00461FFB"/>
    <w:rsid w:val="00464BEA"/>
    <w:rsid w:val="00494FDC"/>
    <w:rsid w:val="004A42BB"/>
    <w:rsid w:val="004B490B"/>
    <w:rsid w:val="004C3B0F"/>
    <w:rsid w:val="004D3204"/>
    <w:rsid w:val="005572AE"/>
    <w:rsid w:val="005966DA"/>
    <w:rsid w:val="00597B27"/>
    <w:rsid w:val="005A30EA"/>
    <w:rsid w:val="005A6E59"/>
    <w:rsid w:val="005B379D"/>
    <w:rsid w:val="005B5818"/>
    <w:rsid w:val="005D56AD"/>
    <w:rsid w:val="0062352E"/>
    <w:rsid w:val="00650CCB"/>
    <w:rsid w:val="006655D7"/>
    <w:rsid w:val="00687727"/>
    <w:rsid w:val="006920F8"/>
    <w:rsid w:val="00696805"/>
    <w:rsid w:val="006A51F8"/>
    <w:rsid w:val="006D1F1A"/>
    <w:rsid w:val="006F0130"/>
    <w:rsid w:val="006F2E67"/>
    <w:rsid w:val="006F39B4"/>
    <w:rsid w:val="007450FF"/>
    <w:rsid w:val="00757926"/>
    <w:rsid w:val="0076754D"/>
    <w:rsid w:val="00770A3C"/>
    <w:rsid w:val="0077120B"/>
    <w:rsid w:val="007C43CF"/>
    <w:rsid w:val="007E20ED"/>
    <w:rsid w:val="00802859"/>
    <w:rsid w:val="00826114"/>
    <w:rsid w:val="008457FE"/>
    <w:rsid w:val="00885C7F"/>
    <w:rsid w:val="00894F96"/>
    <w:rsid w:val="008A7A08"/>
    <w:rsid w:val="008C180D"/>
    <w:rsid w:val="008C22B2"/>
    <w:rsid w:val="008C792E"/>
    <w:rsid w:val="008E4D57"/>
    <w:rsid w:val="008E6295"/>
    <w:rsid w:val="008F73F7"/>
    <w:rsid w:val="009B1DBD"/>
    <w:rsid w:val="00A1057C"/>
    <w:rsid w:val="00A275A0"/>
    <w:rsid w:val="00A42F76"/>
    <w:rsid w:val="00A930ED"/>
    <w:rsid w:val="00AB16B5"/>
    <w:rsid w:val="00AF019F"/>
    <w:rsid w:val="00AF157C"/>
    <w:rsid w:val="00B00FB6"/>
    <w:rsid w:val="00B048DB"/>
    <w:rsid w:val="00B25915"/>
    <w:rsid w:val="00B43878"/>
    <w:rsid w:val="00B50C3B"/>
    <w:rsid w:val="00B52BDE"/>
    <w:rsid w:val="00B6320A"/>
    <w:rsid w:val="00BC78A1"/>
    <w:rsid w:val="00BE113F"/>
    <w:rsid w:val="00BF4F41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22615"/>
    <w:rsid w:val="00D30C21"/>
    <w:rsid w:val="00D508F0"/>
    <w:rsid w:val="00D62403"/>
    <w:rsid w:val="00DD329E"/>
    <w:rsid w:val="00DF02B3"/>
    <w:rsid w:val="00E03DD8"/>
    <w:rsid w:val="00E121F1"/>
    <w:rsid w:val="00E87060"/>
    <w:rsid w:val="00E87AFC"/>
    <w:rsid w:val="00EB1A5B"/>
    <w:rsid w:val="00F30B76"/>
    <w:rsid w:val="00F34976"/>
    <w:rsid w:val="00F61067"/>
    <w:rsid w:val="00F65C9A"/>
    <w:rsid w:val="00F8543D"/>
    <w:rsid w:val="00FC7B1C"/>
    <w:rsid w:val="00FE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  <w:lang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  <w:lang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  <w:lang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5EBD-669A-40E9-AE64-46E00962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6</cp:revision>
  <cp:lastPrinted>2024-09-04T06:47:00Z</cp:lastPrinted>
  <dcterms:created xsi:type="dcterms:W3CDTF">2024-09-04T06:43:00Z</dcterms:created>
  <dcterms:modified xsi:type="dcterms:W3CDTF">2024-09-04T08:02:00Z</dcterms:modified>
</cp:coreProperties>
</file>