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92AEB">
        <w:rPr>
          <w:b/>
          <w:color w:val="000000"/>
          <w:sz w:val="24"/>
        </w:rPr>
        <w:t>1</w:t>
      </w:r>
      <w:r w:rsidR="001002AA">
        <w:rPr>
          <w:b/>
          <w:color w:val="000000"/>
          <w:sz w:val="24"/>
        </w:rPr>
        <w:t>1</w:t>
      </w:r>
      <w:r w:rsidR="00F82E23">
        <w:rPr>
          <w:b/>
          <w:color w:val="000000"/>
          <w:sz w:val="24"/>
        </w:rPr>
        <w:t>.</w:t>
      </w:r>
      <w:r w:rsidR="00727B42">
        <w:rPr>
          <w:b/>
          <w:color w:val="000000"/>
          <w:sz w:val="24"/>
        </w:rPr>
        <w:t>1</w:t>
      </w:r>
      <w:r w:rsidR="00095479">
        <w:rPr>
          <w:b/>
          <w:color w:val="000000"/>
          <w:sz w:val="24"/>
        </w:rPr>
        <w:t>2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Pr="00D02D0D">
        <w:rPr>
          <w:sz w:val="24"/>
        </w:rPr>
        <w:t xml:space="preserve">  </w:t>
      </w:r>
      <w:r w:rsidRPr="00C55EE0">
        <w:rPr>
          <w:b/>
          <w:sz w:val="24"/>
        </w:rPr>
        <w:t xml:space="preserve"> </w:t>
      </w:r>
      <w:r w:rsidRPr="00D02D0D">
        <w:rPr>
          <w:sz w:val="24"/>
        </w:rPr>
        <w:t xml:space="preserve">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392AEB">
        <w:rPr>
          <w:b/>
          <w:bCs/>
          <w:szCs w:val="28"/>
        </w:rPr>
        <w:t>, от 29 октября 2024 года № 12</w:t>
      </w:r>
      <w:r w:rsidR="00095479">
        <w:rPr>
          <w:b/>
          <w:bCs/>
          <w:szCs w:val="28"/>
        </w:rPr>
        <w:t>, от 12 ноября 2024 года № 17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CF7788" w:rsidRDefault="00CF7788" w:rsidP="00CF778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095479">
        <w:rPr>
          <w:szCs w:val="28"/>
        </w:rPr>
        <w:t>32961,2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095479">
        <w:rPr>
          <w:szCs w:val="28"/>
        </w:rPr>
        <w:t>40270,</w:t>
      </w:r>
      <w:r w:rsidR="001B5EE2">
        <w:rPr>
          <w:szCs w:val="28"/>
        </w:rPr>
        <w:t>4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095479">
        <w:rPr>
          <w:szCs w:val="28"/>
        </w:rPr>
        <w:t>45265,6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1002AA">
        <w:rPr>
          <w:szCs w:val="28"/>
        </w:rPr>
        <w:t>45396,1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CF7788" w:rsidRPr="00AB3800" w:rsidRDefault="00CF7788" w:rsidP="00CF778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095479">
        <w:rPr>
          <w:szCs w:val="28"/>
        </w:rPr>
        <w:t>7526,</w:t>
      </w:r>
      <w:r w:rsidR="001002AA">
        <w:rPr>
          <w:szCs w:val="28"/>
        </w:rPr>
        <w:t>5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095479">
        <w:rPr>
          <w:szCs w:val="28"/>
        </w:rPr>
        <w:t>7526,</w:t>
      </w:r>
      <w:r w:rsidR="001002AA">
        <w:rPr>
          <w:szCs w:val="28"/>
        </w:rPr>
        <w:t>5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095479">
        <w:rPr>
          <w:szCs w:val="28"/>
        </w:rPr>
        <w:t>12304,4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1002AA">
        <w:rPr>
          <w:szCs w:val="28"/>
        </w:rPr>
        <w:t>5125,</w:t>
      </w:r>
      <w:r w:rsidR="001B5EE2">
        <w:rPr>
          <w:szCs w:val="28"/>
        </w:rPr>
        <w:t>7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1002AA">
        <w:rPr>
          <w:szCs w:val="28"/>
        </w:rPr>
        <w:t>5125,</w:t>
      </w:r>
      <w:r w:rsidR="001B5EE2">
        <w:rPr>
          <w:szCs w:val="28"/>
        </w:rPr>
        <w:t>7</w:t>
      </w:r>
      <w:r w:rsidR="00727B42">
        <w:rPr>
          <w:szCs w:val="28"/>
        </w:rPr>
        <w:t xml:space="preserve"> тысяч рублей».</w:t>
      </w:r>
    </w:p>
    <w:p w:rsidR="00CF7788" w:rsidRPr="00835558" w:rsidRDefault="00814F62" w:rsidP="00CF77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CF7788">
        <w:rPr>
          <w:rFonts w:ascii="Times New Roman" w:hAnsi="Times New Roman" w:cs="Times New Roman"/>
          <w:sz w:val="28"/>
          <w:szCs w:val="28"/>
        </w:rPr>
        <w:t>ия № 1,3,5,7,9</w:t>
      </w:r>
      <w:r w:rsidR="00CF7788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CF7788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1</w:t>
      </w:r>
      <w:r w:rsidR="00CF7788">
        <w:rPr>
          <w:rFonts w:ascii="Times New Roman" w:hAnsi="Times New Roman" w:cs="Times New Roman"/>
          <w:sz w:val="28"/>
          <w:szCs w:val="28"/>
        </w:rPr>
        <w:t>,2,3,4,5</w:t>
      </w:r>
      <w:r w:rsidR="00CF7788"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lastRenderedPageBreak/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CF7788" w:rsidRDefault="00CF778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CF7788" w:rsidRPr="00112C93" w:rsidRDefault="00CF7788" w:rsidP="001002A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7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Pr="0060515C" w:rsidRDefault="00CF7788" w:rsidP="00CF7788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CF7788" w:rsidRPr="0060515C" w:rsidRDefault="00CF7788" w:rsidP="00CF7788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2024 год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CF7788" w:rsidRPr="00F14ADE" w:rsidTr="00CF7788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32718,5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16797,2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Налог на имущество физических лиц, </w:t>
            </w:r>
            <w:r w:rsidRPr="00F14ADE">
              <w:rPr>
                <w:szCs w:val="28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1 08 04020 01 0000 110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</w:t>
            </w:r>
            <w:r w:rsidR="00095479">
              <w:rPr>
                <w:szCs w:val="28"/>
              </w:rPr>
              <w:t>20</w:t>
            </w:r>
            <w:r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7,7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07015 10 0000 120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43,9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02020 02 0000 140</w:t>
            </w:r>
          </w:p>
        </w:tc>
        <w:tc>
          <w:tcPr>
            <w:tcW w:w="5255" w:type="dxa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095479">
              <w:rPr>
                <w:szCs w:val="28"/>
              </w:rPr>
              <w:lastRenderedPageBreak/>
              <w:t>актов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13,0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10123 01 0000 140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2A044B" w:rsidP="001B5EE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755</w:t>
            </w:r>
            <w:r w:rsidR="001B5EE2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1B5EE2">
              <w:rPr>
                <w:szCs w:val="28"/>
              </w:rPr>
              <w:t>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1319,2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358,9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355,1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F14ADE">
              <w:rPr>
                <w:szCs w:val="28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22,</w:t>
            </w:r>
            <w:r w:rsidR="001B5EE2">
              <w:rPr>
                <w:szCs w:val="28"/>
              </w:rPr>
              <w:t>6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40270</w:t>
            </w:r>
            <w:r w:rsidR="002A044B">
              <w:rPr>
                <w:szCs w:val="28"/>
              </w:rPr>
              <w:t>,</w:t>
            </w:r>
            <w:r w:rsidR="001B5EE2">
              <w:rPr>
                <w:szCs w:val="28"/>
              </w:rPr>
              <w:t>4</w:t>
            </w:r>
          </w:p>
        </w:tc>
      </w:tr>
    </w:tbl>
    <w:p w:rsidR="00CF7788" w:rsidRPr="00F14ADE" w:rsidRDefault="00CF7788" w:rsidP="00CF7788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CF7788" w:rsidRDefault="00CF7788" w:rsidP="00CF7788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CF7788" w:rsidRDefault="002A044B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Начальник </w:t>
      </w:r>
      <w:r w:rsidR="00CF7788" w:rsidRPr="0060515C">
        <w:rPr>
          <w:szCs w:val="28"/>
        </w:rPr>
        <w:t>финансового отдела</w:t>
      </w:r>
      <w:r w:rsidR="00CF7788">
        <w:rPr>
          <w:szCs w:val="28"/>
        </w:rPr>
        <w:t xml:space="preserve"> администрации</w:t>
      </w:r>
    </w:p>
    <w:p w:rsidR="00CF7788" w:rsidRPr="0060515C" w:rsidRDefault="00CF7788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 w:rsidR="002A044B">
        <w:rPr>
          <w:rFonts w:ascii="Times New Roman" w:hAnsi="Times New Roman" w:cs="Times New Roman"/>
          <w:sz w:val="28"/>
          <w:szCs w:val="28"/>
        </w:rPr>
        <w:t>Е.А. Фоменко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593509" w:rsidRDefault="00593509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CF7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EA0047" w:rsidRPr="00112C93" w:rsidRDefault="006B33F7" w:rsidP="001002AA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00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04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1002AA" w:rsidP="00A0568B">
            <w:pPr>
              <w:widowControl w:val="0"/>
              <w:spacing w:line="360" w:lineRule="auto"/>
              <w:ind w:firstLine="0"/>
              <w:jc w:val="right"/>
            </w:pPr>
            <w:r>
              <w:t>45396,1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330BBF" w:rsidP="00727B42">
            <w:pPr>
              <w:widowControl w:val="0"/>
              <w:spacing w:line="360" w:lineRule="auto"/>
              <w:ind w:firstLine="0"/>
              <w:jc w:val="right"/>
            </w:pPr>
            <w:r>
              <w:t>13097,2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6334,7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330BBF" w:rsidP="00727B42">
            <w:pPr>
              <w:widowControl w:val="0"/>
              <w:spacing w:line="360" w:lineRule="auto"/>
              <w:ind w:firstLine="0"/>
              <w:jc w:val="right"/>
            </w:pPr>
            <w:r>
              <w:t>5014,5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329,8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204,8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1002AA" w:rsidP="006B33F7">
            <w:pPr>
              <w:widowControl w:val="0"/>
              <w:spacing w:line="360" w:lineRule="auto"/>
              <w:ind w:firstLine="0"/>
              <w:jc w:val="right"/>
            </w:pPr>
            <w:r>
              <w:t>4420,2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1002AA">
            <w:pPr>
              <w:widowControl w:val="0"/>
              <w:spacing w:line="360" w:lineRule="auto"/>
              <w:ind w:firstLine="0"/>
              <w:jc w:val="right"/>
            </w:pPr>
            <w:r>
              <w:t>3969,</w:t>
            </w:r>
            <w:r w:rsidR="001002AA">
              <w:t>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106,1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17034,6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330BBF" w:rsidP="001B5EE2">
            <w:pPr>
              <w:widowControl w:val="0"/>
              <w:spacing w:line="360" w:lineRule="auto"/>
              <w:ind w:firstLine="0"/>
              <w:jc w:val="right"/>
            </w:pPr>
            <w:r>
              <w:t>238,</w:t>
            </w:r>
            <w:r w:rsidR="001B5EE2">
              <w:t>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16796,5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9358,4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9358,4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  <w:r w:rsidR="006B33F7">
              <w:t>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330BBF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BB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1002AA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45396,1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1679,9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6124,8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1272,8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3478,1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lastRenderedPageBreak/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191,1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191,1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753,1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5E1029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</w:t>
            </w:r>
            <w:r w:rsidR="005E1029">
              <w:rPr>
                <w:sz w:val="24"/>
              </w:rPr>
              <w:t>4</w:t>
            </w:r>
            <w:r w:rsidRPr="00512F35">
              <w:rPr>
                <w:sz w:val="24"/>
              </w:rPr>
              <w:t>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688,7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7986,3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239,9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D09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lastRenderedPageBreak/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1002AA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45396,1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45396,1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13097,2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6334,7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6124,8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1272,8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отдельных государственных полномочий по созданию и организации деятельности </w:t>
            </w:r>
            <w:r w:rsidRPr="00AB3800">
              <w:rPr>
                <w:sz w:val="24"/>
                <w:lang w:eastAsia="ar-SA"/>
              </w:rPr>
              <w:lastRenderedPageBreak/>
              <w:t>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5014,5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 w:rsidRPr="00AB3800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3478,1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293,3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 xml:space="preserve">Мероприятия по информационному обслуживанию деятельности Совета и администрации Дядьковского </w:t>
            </w:r>
            <w:r w:rsidRPr="00BA058B">
              <w:rPr>
                <w:sz w:val="24"/>
                <w:lang w:eastAsia="ar-SA"/>
              </w:rPr>
              <w:lastRenderedPageBreak/>
              <w:t>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191,1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191,1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753,1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688,7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8B11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</w:t>
            </w:r>
            <w:r w:rsidRPr="00AB3800">
              <w:rPr>
                <w:sz w:val="24"/>
                <w:lang w:eastAsia="ar-SA"/>
              </w:rPr>
              <w:lastRenderedPageBreak/>
              <w:t>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4420,2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</w:t>
            </w:r>
            <w:r w:rsidR="001002AA">
              <w:rPr>
                <w:sz w:val="24"/>
                <w:lang w:eastAsia="ar-SA"/>
              </w:rPr>
              <w:t>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685E24">
              <w:rPr>
                <w:sz w:val="24"/>
                <w:lang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17034,6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031D0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</w:t>
            </w:r>
            <w:r w:rsidR="00CF3297">
              <w:rPr>
                <w:sz w:val="24"/>
                <w:lang w:eastAsia="ar-SA"/>
              </w:rPr>
              <w:t>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16796,5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9358,4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9358,4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685E24"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239,9</w:t>
            </w:r>
            <w:r w:rsidR="00481417">
              <w:rPr>
                <w:sz w:val="24"/>
                <w:lang w:eastAsia="ar-SA"/>
              </w:rPr>
              <w:t>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администрации Дядьковского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Кореновского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1002A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29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1002AA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F3297" w:rsidRPr="00E82752" w:rsidRDefault="001002AA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5125,7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Погашение кредитов, предоставленных </w:t>
            </w:r>
            <w:r w:rsidRPr="00E82752">
              <w:rPr>
                <w:rFonts w:eastAsia="Calibri"/>
                <w:sz w:val="24"/>
                <w:lang w:eastAsia="en-US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lastRenderedPageBreak/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1002AA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5125,7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1817D2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CF329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825A62" w:rsidRDefault="001002AA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45396,1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1002AA" w:rsidP="00DE7BF0">
            <w:pPr>
              <w:ind w:firstLine="5"/>
              <w:jc w:val="center"/>
            </w:pPr>
            <w:r>
              <w:rPr>
                <w:sz w:val="24"/>
              </w:rPr>
              <w:t>45396,1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1002AA" w:rsidP="006B33F7">
            <w:pPr>
              <w:ind w:firstLine="5"/>
              <w:jc w:val="center"/>
            </w:pPr>
            <w:r>
              <w:rPr>
                <w:sz w:val="24"/>
              </w:rPr>
              <w:t>45396,1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Default="001002AA" w:rsidP="00CF3297">
            <w:pPr>
              <w:ind w:firstLine="5"/>
              <w:jc w:val="center"/>
            </w:pPr>
            <w:r>
              <w:rPr>
                <w:sz w:val="24"/>
              </w:rPr>
              <w:t>45396,1</w:t>
            </w:r>
            <w:r w:rsidR="00CF329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620ECC">
      <w:headerReference w:type="default" r:id="rId9"/>
      <w:headerReference w:type="firs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3C" w:rsidRDefault="00825B3C" w:rsidP="004E3B4F">
      <w:pPr>
        <w:pStyle w:val="a8"/>
        <w:spacing w:after="0"/>
      </w:pPr>
      <w:r>
        <w:separator/>
      </w:r>
    </w:p>
  </w:endnote>
  <w:endnote w:type="continuationSeparator" w:id="1">
    <w:p w:rsidR="00825B3C" w:rsidRDefault="00825B3C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3C" w:rsidRDefault="00825B3C" w:rsidP="004E3B4F">
      <w:pPr>
        <w:pStyle w:val="a8"/>
        <w:spacing w:after="0"/>
      </w:pPr>
      <w:r>
        <w:separator/>
      </w:r>
    </w:p>
  </w:footnote>
  <w:footnote w:type="continuationSeparator" w:id="1">
    <w:p w:rsidR="00825B3C" w:rsidRDefault="00825B3C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AA" w:rsidRDefault="001002AA">
    <w:pPr>
      <w:pStyle w:val="ab"/>
      <w:jc w:val="center"/>
    </w:pPr>
  </w:p>
  <w:p w:rsidR="001002AA" w:rsidRDefault="001002A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AA" w:rsidRDefault="001002AA">
    <w:pPr>
      <w:pStyle w:val="ab"/>
      <w:jc w:val="center"/>
    </w:pPr>
  </w:p>
  <w:p w:rsidR="001002AA" w:rsidRDefault="001002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1D09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5479"/>
    <w:rsid w:val="0009744A"/>
    <w:rsid w:val="000A2253"/>
    <w:rsid w:val="000A3DD4"/>
    <w:rsid w:val="000A3F4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02AA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B5EE2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6779C"/>
    <w:rsid w:val="00277115"/>
    <w:rsid w:val="00281552"/>
    <w:rsid w:val="00282CD8"/>
    <w:rsid w:val="00284F44"/>
    <w:rsid w:val="002907D7"/>
    <w:rsid w:val="002921E7"/>
    <w:rsid w:val="00295304"/>
    <w:rsid w:val="002A044B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0BBF"/>
    <w:rsid w:val="00331305"/>
    <w:rsid w:val="0033432F"/>
    <w:rsid w:val="00334D3A"/>
    <w:rsid w:val="00334FB7"/>
    <w:rsid w:val="00342D75"/>
    <w:rsid w:val="00343C9A"/>
    <w:rsid w:val="003455FB"/>
    <w:rsid w:val="003474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577D"/>
    <w:rsid w:val="005D785E"/>
    <w:rsid w:val="005E042C"/>
    <w:rsid w:val="005E1029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0ECC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E24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5B3C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17F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10AA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221E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5EE0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297"/>
    <w:rsid w:val="00CF3B3E"/>
    <w:rsid w:val="00CF3E94"/>
    <w:rsid w:val="00CF43A4"/>
    <w:rsid w:val="00CF4CF8"/>
    <w:rsid w:val="00CF6B9C"/>
    <w:rsid w:val="00CF6E06"/>
    <w:rsid w:val="00CF7788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A538C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2024-10-29T06:13:00Z</cp:lastPrinted>
  <dcterms:created xsi:type="dcterms:W3CDTF">2024-12-10T13:46:00Z</dcterms:created>
  <dcterms:modified xsi:type="dcterms:W3CDTF">2024-12-10T13:46:00Z</dcterms:modified>
</cp:coreProperties>
</file>